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附件1：</w:t>
      </w:r>
    </w:p>
    <w:p>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bCs/>
          <w:color w:val="auto"/>
          <w:kern w:val="2"/>
          <w:sz w:val="36"/>
          <w:szCs w:val="36"/>
          <w:lang w:val="en-US" w:eastAsia="zh-CN" w:bidi="ar-SA"/>
        </w:rPr>
      </w:pPr>
      <w:r>
        <w:rPr>
          <w:rFonts w:hint="eastAsia" w:ascii="仿宋_GB2312" w:hAnsi="仿宋_GB2312" w:eastAsia="仿宋_GB2312" w:cs="仿宋_GB2312"/>
          <w:b/>
          <w:bCs/>
          <w:color w:val="auto"/>
          <w:kern w:val="2"/>
          <w:sz w:val="36"/>
          <w:szCs w:val="36"/>
          <w:lang w:val="en-US" w:eastAsia="zh-CN" w:bidi="ar-SA"/>
        </w:rPr>
        <w:t>2019年度山西省重点研发计划（社会发展领域）项目申报指南</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i w:val="0"/>
          <w:snapToGrid/>
          <w:color w:val="auto"/>
          <w:sz w:val="32"/>
          <w:szCs w:val="32"/>
          <w:shd w:val="clear" w:color="auto" w:fill="FFFFFF"/>
          <w:lang w:val="en-US" w:eastAsia="zh-CN"/>
        </w:rPr>
        <w:t>以习近平新时代中国特色社会主义思想为指导，深入贯彻习近平总书记视察山西重要讲话精神、推动中部地区崛起工作座谈会上重要讲话精神，</w:t>
      </w:r>
      <w:r>
        <w:rPr>
          <w:rFonts w:hint="eastAsia" w:ascii="仿宋_GB2312" w:hAnsi="仿宋_GB2312" w:eastAsia="仿宋_GB2312" w:cs="仿宋_GB2312"/>
          <w:color w:val="auto"/>
          <w:sz w:val="32"/>
          <w:szCs w:val="32"/>
          <w:lang w:val="en-US" w:eastAsia="zh-CN"/>
        </w:rPr>
        <w:t>紧紧围绕我省生态文明、人口健康、公共安全、社会事业等领域重大战略任务及创新需求，</w:t>
      </w:r>
      <w:r>
        <w:rPr>
          <w:rFonts w:hint="eastAsia" w:ascii="仿宋_GB2312" w:hAnsi="仿宋_GB2312" w:eastAsia="仿宋_GB2312" w:cs="仿宋_GB2312"/>
          <w:sz w:val="32"/>
          <w:szCs w:val="32"/>
          <w:lang w:eastAsia="zh-CN"/>
        </w:rPr>
        <w:t>聚焦能源革命综合改革试点、太原国家可持续发展议程创新示范区建设、临床医学研究中心建设等重点工程，</w:t>
      </w:r>
      <w:r>
        <w:rPr>
          <w:rFonts w:hint="eastAsia" w:ascii="仿宋_GB2312" w:hAnsi="仿宋_GB2312" w:eastAsia="仿宋_GB2312" w:cs="仿宋_GB2312"/>
          <w:color w:val="auto"/>
          <w:sz w:val="32"/>
          <w:szCs w:val="32"/>
          <w:lang w:val="en-US" w:eastAsia="zh-CN"/>
        </w:rPr>
        <w:t>坚持需求导向、问题导向和目标导向，</w:t>
      </w:r>
      <w:r>
        <w:rPr>
          <w:rFonts w:hint="eastAsia" w:ascii="仿宋_GB2312" w:hAnsi="仿宋_GB2312" w:eastAsia="仿宋_GB2312" w:cs="仿宋_GB2312"/>
          <w:sz w:val="32"/>
          <w:szCs w:val="32"/>
          <w:lang w:eastAsia="zh-CN"/>
        </w:rPr>
        <w:t>在充分征集社会需求的基础上，编制了</w:t>
      </w:r>
      <w:r>
        <w:rPr>
          <w:rFonts w:hint="eastAsia" w:ascii="仿宋_GB2312" w:hAnsi="仿宋_GB2312" w:eastAsia="仿宋_GB2312" w:cs="仿宋_GB2312"/>
          <w:sz w:val="32"/>
          <w:szCs w:val="32"/>
          <w:lang w:val="en-US" w:eastAsia="zh-CN"/>
        </w:rPr>
        <w:t>2019年度山西省重点研发计划（社会发展领域）项目申报指南，</w:t>
      </w:r>
      <w:r>
        <w:rPr>
          <w:rFonts w:hint="eastAsia" w:ascii="仿宋_GB2312" w:hAnsi="仿宋_GB2312" w:eastAsia="仿宋_GB2312" w:cs="仿宋_GB2312"/>
          <w:color w:val="auto"/>
          <w:sz w:val="32"/>
          <w:szCs w:val="32"/>
          <w:lang w:val="en-US" w:eastAsia="zh-CN"/>
        </w:rPr>
        <w:t>现将有关事项通知如下。</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 w:val="0"/>
          <w:bCs w:val="0"/>
          <w:color w:val="auto"/>
          <w:sz w:val="32"/>
          <w:szCs w:val="32"/>
          <w:lang w:val="en-US" w:eastAsia="zh-CN"/>
        </w:rPr>
      </w:pPr>
      <w:r>
        <w:rPr>
          <w:rFonts w:hint="eastAsia" w:ascii="黑体" w:hAnsi="黑体" w:eastAsia="黑体" w:cs="仿宋_GB2312"/>
          <w:b w:val="0"/>
          <w:bCs w:val="0"/>
          <w:color w:val="auto"/>
          <w:sz w:val="32"/>
          <w:szCs w:val="32"/>
          <w:lang w:val="en-US" w:eastAsia="zh-CN"/>
        </w:rPr>
        <w:t>一、重点支持领域和方向</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2019年省重点研发计划（社会发展领域）项目分为重点项目和一般项目两类。重点项目</w:t>
      </w:r>
      <w:bookmarkStart w:id="0" w:name="_Toc517801278"/>
      <w:bookmarkStart w:id="1" w:name="_Toc514839585"/>
      <w:bookmarkStart w:id="2" w:name="_Toc7877"/>
      <w:r>
        <w:rPr>
          <w:rFonts w:hint="eastAsia" w:ascii="仿宋_GB2312" w:hAnsi="仿宋_GB2312" w:eastAsia="仿宋_GB2312" w:cs="仿宋_GB2312"/>
          <w:b w:val="0"/>
          <w:bCs w:val="0"/>
          <w:color w:val="auto"/>
          <w:sz w:val="32"/>
          <w:szCs w:val="32"/>
          <w:lang w:val="en-US" w:eastAsia="zh-CN"/>
        </w:rPr>
        <w:t>围绕生态环境、中药创制、生物技术、公共安全、旅游文化等领域，支持重点项目12项。</w:t>
      </w:r>
      <w:bookmarkEnd w:id="0"/>
      <w:bookmarkEnd w:id="1"/>
      <w:bookmarkEnd w:id="2"/>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jc w:val="left"/>
        <w:textAlignment w:val="auto"/>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b w:val="0"/>
          <w:bCs w:val="0"/>
          <w:color w:val="auto"/>
          <w:sz w:val="32"/>
          <w:szCs w:val="32"/>
          <w:lang w:val="en-US" w:eastAsia="zh-CN"/>
        </w:rPr>
        <w:t>一般项目主要围绕生态环境、人口健康、生物技术、公共安全和社会事业5个领域。具体内容点击 http://kjt.shanxi.gov.cn/tcc/48776.jhtml 查看。</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黑体" w:hAnsi="黑体" w:eastAsia="黑体" w:cs="黑体"/>
          <w:b w:val="0"/>
          <w:i w:val="0"/>
          <w:snapToGrid/>
          <w:color w:val="auto"/>
          <w:sz w:val="32"/>
          <w:szCs w:val="32"/>
          <w:shd w:val="clear" w:color="auto" w:fill="FFFFFF"/>
        </w:rPr>
      </w:pPr>
      <w:r>
        <w:rPr>
          <w:rFonts w:hint="eastAsia" w:ascii="黑体" w:hAnsi="黑体" w:eastAsia="黑体" w:cs="黑体"/>
          <w:b w:val="0"/>
          <w:i w:val="0"/>
          <w:snapToGrid/>
          <w:color w:val="auto"/>
          <w:sz w:val="32"/>
          <w:szCs w:val="32"/>
          <w:shd w:val="clear" w:color="auto" w:fill="FFFFFF"/>
          <w:lang w:eastAsia="zh-CN"/>
        </w:rPr>
        <w:t>二、申报条件及要求</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申报项目必须符合指南方向，并满足以下申报条件及要求。对不符合指南方向、申报条件和要求的申报项目，形式审查不予通过。</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（一）申报要求</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项目申报单位要根据申报指南，严格按照要求填写项目申报书。一是要分析并填写国际、国内技术现状和技术指标，并以此为依据确定申报项目的研究内容、关键技术和创新点，杜绝低水平、重复研究。研究内容要明确、具体，技术指标必须量化、可考核，技术指标应处于国内领先、国际先进水平。技术指标虚假、不实、不明确的不予立项。二是要明确绩效目标。通过项目研究要解决关键技术难题，形成拥有自主知识产权、技术水平达到国内领先或国际先进的研发成果，具有良好的经济社会效益。不支持基础研究和科技成果转化项目。</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（二）申报条件</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1.项目申报单位是在山西省境内注册的具有独立法人资格的单位；需具有较好的研发条件和较强的研发能力，具有良好信誉度。</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2.项目负责人应为牵头申报单位在职在岗科研人员，具有高级专业技术职称；不具备高级技术职称的，需2名与其研究领域相同、具有高级专业技术职称的科研人员推荐。项目负责人在相关研究领域应具有较高的学术地位和技术优势，具有完成项目所需的组织管理和协调能力。</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3.鼓励以企业为主体申报，或联合企业共同申报。鼓励联合C9高校和京津冀、粤港澳大湾区相关单位参与项目申报。</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4.同等条件下，优先支持太原国家可持续发展议程创新示范区建设相关关键技术研究；优先支持产学研合作项目；优先支持研发经费以自筹为主、政府引导经费为辅的申报项目；优先支持在本领域拥有国家级、省部级研发平台项目（研发平台包括实验室、工程技术研究中心、临床医学研究中心等）；优先支持有流行病学调查报告的临床医学、中西医诊疗申报项目（凡是优先支持的均为加分项）。</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default"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5.项目申报预算编制要精确、合理，杜绝虚报，财务审查不合格、预算偏差较大项目不予立项。</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（三）申报材料（以附件形式在系统里上传；如水印版附件不清晰，在纸质申报材料里加附不带水印的纸质清晰附件）</w:t>
      </w:r>
    </w:p>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1.项目申报书</w:t>
      </w:r>
    </w:p>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在山西省科技计划管理系统中生成有水印的《山西省重点研发计划项目申报书》。</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2.根据申报项目情况应提供的相关支撑材料（应提供材料未提供形式审查不合格）</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1）项目负责人职称为高级职称（含副高）的，提供职称证书和在职在岗证明。项目负责人职称为副高以下（不含副高）的提供本人职称证书和在职在岗证明，同领域高级职称专家推荐表（见附件）及推荐人高级职称证书；</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（2）申报单位为企业的，提供营业执照、上一年度财务报表或审计报告；</w:t>
      </w:r>
    </w:p>
    <w:p>
      <w:pPr>
        <w:pStyle w:val="4"/>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（3）申报财政资助资金80万元（含）以上的，填报经费预算申报书；</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（4）中、西医诊疗技术和生物技术等领域涉及人体研究的，需通过伦理委员会审查并提供相关批件；</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（5）有产学研合作的，提供合作协议（针对本项目开展的产学研合作相关权利义务、资金分配、成果共享等约定内容）；</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default"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（6）有研发平台的，提供相关证明材料；</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（7）有项目配套资金的，提供配套经费来源证明材料。</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3.根据申报项目情况自选提供的相关支撑材料</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（1）临床医学、中西医诊疗等项目开展流行病学调查的，提供流行病学调查报告；</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（2）由第三方机构出具的，证明研究内容处于国际、国内领先的相关材料（如查新报告、评价报告等）；</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（3）研究所需的技术、设施和设备等基础条件情况；</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（4）相关科研成果、知识产权等证明材料；</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（5）项目申报单位研发投入（R&amp;D投入）情况；</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（6）与项目相关的其他证明材料或文件等。</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申报单位须对项目申报材料内容的真实性进行审核把关，如有虚假并经核实，项目管理部门将不予立项并按有关规定进行处理。</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三、申报程序</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 xml:space="preserve">申报程序    </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1.项目负责人在规定时间内登陆山西省科技厅网站（http://</w:t>
      </w:r>
      <w:r>
        <w:rPr>
          <w:rFonts w:hint="eastAsia" w:ascii="仿宋_GB2312" w:hAnsi="Times New Roman" w:eastAsia="仿宋_GB2312" w:cs="Times New Roman"/>
          <w:color w:val="auto"/>
          <w:kern w:val="0"/>
          <w:sz w:val="32"/>
          <w:szCs w:val="32"/>
          <w:shd w:val="clear" w:color="auto" w:fill="FFFFFF"/>
          <w:lang w:val="en-US" w:eastAsia="zh-CN" w:bidi="ar-SA"/>
        </w:rPr>
        <w:fldChar w:fldCharType="begin"/>
      </w:r>
      <w:r>
        <w:rPr>
          <w:rFonts w:hint="eastAsia" w:ascii="仿宋_GB2312" w:hAnsi="Times New Roman" w:eastAsia="仿宋_GB2312" w:cs="Times New Roman"/>
          <w:color w:val="auto"/>
          <w:kern w:val="0"/>
          <w:sz w:val="32"/>
          <w:szCs w:val="32"/>
          <w:shd w:val="clear" w:color="auto" w:fill="FFFFFF"/>
          <w:lang w:val="en-US" w:eastAsia="zh-CN" w:bidi="ar-SA"/>
        </w:rPr>
        <w:instrText xml:space="preserve">HYPERLINK "http://www.sxinfo.gov.cn/"</w:instrText>
      </w:r>
      <w:r>
        <w:rPr>
          <w:rFonts w:hint="eastAsia" w:ascii="仿宋_GB2312" w:hAnsi="Times New Roman" w:eastAsia="仿宋_GB2312" w:cs="Times New Roman"/>
          <w:color w:val="auto"/>
          <w:kern w:val="0"/>
          <w:sz w:val="32"/>
          <w:szCs w:val="32"/>
          <w:shd w:val="clear" w:color="auto" w:fill="FFFFFF"/>
          <w:lang w:val="en-US" w:eastAsia="zh-CN" w:bidi="ar-SA"/>
        </w:rPr>
        <w:fldChar w:fldCharType="separate"/>
      </w:r>
      <w:r>
        <w:rPr>
          <w:rFonts w:hint="eastAsia" w:ascii="仿宋_GB2312" w:hAnsi="Times New Roman" w:eastAsia="仿宋_GB2312" w:cs="Times New Roman"/>
          <w:color w:val="auto"/>
          <w:kern w:val="0"/>
          <w:sz w:val="32"/>
          <w:szCs w:val="32"/>
          <w:shd w:val="clear" w:color="auto" w:fill="FFFFFF"/>
          <w:lang w:val="en-US" w:eastAsia="zh-CN" w:bidi="ar-SA"/>
        </w:rPr>
        <w:t>kjt.shanxi.gov.cn</w:t>
      </w:r>
      <w:r>
        <w:rPr>
          <w:rFonts w:hint="eastAsia" w:ascii="仿宋_GB2312" w:hAnsi="Times New Roman" w:eastAsia="仿宋_GB2312" w:cs="Times New Roman"/>
          <w:color w:val="auto"/>
          <w:kern w:val="0"/>
          <w:sz w:val="32"/>
          <w:szCs w:val="32"/>
          <w:shd w:val="clear" w:color="auto" w:fill="FFFFFF"/>
          <w:lang w:val="en-US" w:eastAsia="zh-CN" w:bidi="ar-SA"/>
        </w:rPr>
        <w:fldChar w:fldCharType="end"/>
      </w:r>
      <w:r>
        <w:rPr>
          <w:rFonts w:hint="eastAsia" w:ascii="仿宋_GB2312" w:hAnsi="Times New Roman" w:eastAsia="仿宋_GB2312" w:cs="Times New Roman"/>
          <w:color w:val="auto"/>
          <w:kern w:val="0"/>
          <w:sz w:val="32"/>
          <w:szCs w:val="32"/>
          <w:shd w:val="clear" w:color="auto" w:fill="FFFFFF"/>
          <w:lang w:val="en-US" w:eastAsia="zh-CN" w:bidi="ar-SA"/>
        </w:rPr>
        <w:t>）的山西省科技计划管理信息系统，完成注册及在线填报工作。</w:t>
      </w:r>
    </w:p>
    <w:p>
      <w:pPr>
        <w:keepNext w:val="0"/>
        <w:keepLines w:val="0"/>
        <w:pageBreakBefore w:val="0"/>
        <w:widowControl/>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2.在线填报成功后，从山西省科技计划管理信息系统打印正式版本，在规定时间内，将书面材料报送至科研处A216室。</w:t>
      </w: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D728E"/>
    <w:rsid w:val="3F6D72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Normal (Web)"/>
    <w:basedOn w:val="1"/>
    <w:uiPriority w:val="0"/>
    <w:pPr>
      <w:spacing w:line="23" w:lineRule="atLeast"/>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2019-07-17T07:09:00Z</dcterms:created>
  <dc:creator>Administrator</dc:creator>
  <cp:lastModifiedBy>Administrator</cp:lastModifiedBy>
  <dcterms:modified xsi:type="dcterms:W3CDTF">2019-07-17T07:10:46Z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